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105"/>
        <w:gridCol w:w="3156"/>
        <w:gridCol w:w="6848"/>
      </w:tblGrid>
      <w:tr w:rsidRPr="00A61364" w:rsidR="00A61364" w:rsidTr="4724C643" w14:paraId="06592805" w14:textId="77777777">
        <w:trPr>
          <w:trHeight w:val="270"/>
        </w:trPr>
        <w:tc>
          <w:tcPr>
            <w:tcW w:w="76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/>
            <w:tcMar/>
            <w:hideMark/>
          </w:tcPr>
          <w:p w:rsidRPr="00A61364" w:rsidR="00A61364" w:rsidP="00A61364" w:rsidRDefault="00A61364" w14:paraId="7369416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Year group: 2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/>
            <w:tcMar/>
            <w:hideMark/>
          </w:tcPr>
          <w:p w:rsidRPr="00A61364" w:rsidR="00A61364" w:rsidP="00A61364" w:rsidRDefault="00A61364" w14:paraId="27FF4079" w14:textId="2165635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 xml:space="preserve">Term: </w:t>
            </w:r>
            <w:r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Spring 1</w:t>
            </w:r>
          </w:p>
        </w:tc>
      </w:tr>
      <w:tr w:rsidRPr="00A61364" w:rsidR="00A61364" w:rsidTr="4724C643" w14:paraId="5FDF1AD4" w14:textId="77777777">
        <w:trPr>
          <w:trHeight w:val="270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/>
            <w:tcMar/>
            <w:vAlign w:val="center"/>
            <w:hideMark/>
          </w:tcPr>
          <w:p w:rsidRPr="00A61364" w:rsidR="00A61364" w:rsidP="00A61364" w:rsidRDefault="00A61364" w14:paraId="2560F4E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Subject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/>
            <w:tcMar/>
            <w:vAlign w:val="center"/>
            <w:hideMark/>
          </w:tcPr>
          <w:p w:rsidRPr="00A61364" w:rsidR="00A61364" w:rsidP="00A61364" w:rsidRDefault="00A61364" w14:paraId="13A0E8E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Strand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4C6E7"/>
            <w:tcMar/>
            <w:vAlign w:val="center"/>
            <w:hideMark/>
          </w:tcPr>
          <w:p w:rsidRPr="00A61364" w:rsidR="00A61364" w:rsidP="00A61364" w:rsidRDefault="00A61364" w14:paraId="1F14110E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Unit of work title / Overview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</w:tr>
      <w:tr w:rsidRPr="00A61364" w:rsidR="00A61364" w:rsidTr="4724C643" w14:paraId="14BC8519" w14:textId="77777777">
        <w:trPr>
          <w:trHeight w:val="255"/>
        </w:trPr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/>
            <w:vAlign w:val="center"/>
            <w:hideMark/>
          </w:tcPr>
          <w:p w:rsidRPr="00A61364" w:rsidR="00A61364" w:rsidP="00A61364" w:rsidRDefault="00A61364" w14:paraId="0D15219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English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7EB5766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Reading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0DB4D8A2" w14:paraId="128BB572" w14:textId="0771EE4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592CDA8F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Continue using VIPERS, developing comprehension skills.</w:t>
            </w:r>
          </w:p>
        </w:tc>
      </w:tr>
      <w:tr w:rsidRPr="00A61364" w:rsidR="00A61364" w:rsidTr="4724C643" w14:paraId="08925313" w14:textId="77777777">
        <w:trPr>
          <w:trHeight w:val="270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1F4AC9C7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132BABE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Writing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3C606266" w14:paraId="5005C639" w14:textId="1438AB4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1FBC712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Writing to inform, including instructions and a report. </w:t>
            </w:r>
          </w:p>
        </w:tc>
      </w:tr>
      <w:tr w:rsidRPr="00A61364" w:rsidR="00A61364" w:rsidTr="4724C643" w14:paraId="64E5EAA7" w14:textId="77777777">
        <w:trPr>
          <w:trHeight w:val="270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7089B5A0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6E099E0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Phonics/Spelling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1EED3CBE" w14:paraId="020069C2" w14:textId="41F9997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7AC6A175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Read Write Inc. Recapping all set 2 and 3 sounds. Year 1 and Year 2 Common Exception Words.</w:t>
            </w:r>
          </w:p>
        </w:tc>
      </w:tr>
      <w:tr w:rsidRPr="00A61364" w:rsidR="00A61364" w:rsidTr="4724C643" w14:paraId="5DFEEADB" w14:textId="77777777">
        <w:trPr>
          <w:trHeight w:val="255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6367E4D5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23C299E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Grammar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31189BA6" w14:paraId="7B96A9D9" w14:textId="7C026B0E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151B8A2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Four sentence types. Conjunctions. Adjectives and adverbs. </w:t>
            </w:r>
            <w:r w:rsidRPr="4724C643" w:rsidR="42121231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Suffixes. </w:t>
            </w:r>
          </w:p>
        </w:tc>
      </w:tr>
      <w:tr w:rsidRPr="00A61364" w:rsidR="00A61364" w:rsidTr="4724C643" w14:paraId="5ABCE082" w14:textId="77777777">
        <w:trPr>
          <w:trHeight w:val="255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1784CBAC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5C863F7A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Punctuation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2AB20542" w14:paraId="253E1BCA" w14:textId="387FF068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2A8150CB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Accurately punctuate a sentence in line with the sentence type. Commas to separate items in a list.</w:t>
            </w:r>
          </w:p>
        </w:tc>
      </w:tr>
      <w:tr w:rsidRPr="00A61364" w:rsidR="00A61364" w:rsidTr="4724C643" w14:paraId="3711C5B5" w14:textId="77777777">
        <w:trPr>
          <w:trHeight w:val="255"/>
        </w:trPr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/>
            <w:tcMar/>
            <w:vAlign w:val="center"/>
            <w:hideMark/>
          </w:tcPr>
          <w:p w:rsidRPr="00A61364" w:rsidR="00A61364" w:rsidP="00A61364" w:rsidRDefault="00A61364" w14:paraId="1AFDCA0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Maths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153CFAA4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Mental calculations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412F932E" w14:paraId="5F68159B" w14:textId="5495969D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412F932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2</w:t>
            </w:r>
            <w:r w:rsidRPr="4724C643" w:rsidR="26D0F00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, 5, 10 </w:t>
            </w:r>
            <w:r w:rsidRPr="4724C643" w:rsidR="26D0F00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times-</w:t>
            </w:r>
            <w:r w:rsidRPr="4724C643" w:rsidR="412F932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tables</w:t>
            </w:r>
            <w:r w:rsidRPr="4724C643" w:rsidR="412F932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. </w:t>
            </w:r>
          </w:p>
        </w:tc>
      </w:tr>
      <w:tr w:rsidRPr="00A61364" w:rsidR="00A61364" w:rsidTr="4724C643" w14:paraId="36456945" w14:textId="77777777">
        <w:trPr>
          <w:trHeight w:val="255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3FDA87E5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3D9C3F8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Written calculations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566F5D40" w14:paraId="2E3EB228" w14:textId="7AA271F0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566F5D40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Multiplication and division. One step and two step word problems. </w:t>
            </w:r>
          </w:p>
        </w:tc>
      </w:tr>
      <w:tr w:rsidRPr="00A61364" w:rsidR="00A61364" w:rsidTr="4724C643" w14:paraId="1D6E22A5" w14:textId="77777777">
        <w:trPr>
          <w:trHeight w:val="255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1FE45383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15647B18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4724C643" w:rsidRDefault="178AE398" w14:paraId="3CE8788A" w14:textId="58343D9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178AE398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Money</w:t>
            </w:r>
            <w:r w:rsidRPr="4724C643" w:rsidR="0925DAE7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– counting and comparing amounts of money. </w:t>
            </w:r>
            <w:r w:rsidRPr="4724C643" w:rsidR="5BAB20B7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Calculating with money including making a pound, finding change and two </w:t>
            </w:r>
            <w:r w:rsidRPr="4724C643" w:rsidR="5BAB20B7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ste</w:t>
            </w:r>
            <w:r w:rsidRPr="4724C643" w:rsidR="5E61565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p </w:t>
            </w:r>
            <w:r w:rsidRPr="4724C643" w:rsidR="5BAB20B7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problems. </w:t>
            </w:r>
          </w:p>
          <w:p w:rsidRPr="00A61364" w:rsidR="00A61364" w:rsidP="00A61364" w:rsidRDefault="178AE398" w14:paraId="4AD30B87" w14:textId="243E814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5BAB20B7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M</w:t>
            </w:r>
            <w:r w:rsidRPr="4724C643" w:rsidR="178AE398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ultiplication and division</w:t>
            </w:r>
            <w:r w:rsidRPr="4724C643" w:rsidR="09D7E74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– Recognising and making equal groups, introduction of multiplication symbol, using arrays. Division by 2, 5, and 10s. </w:t>
            </w:r>
            <w:r w:rsidRPr="4724C643" w:rsidR="178AE398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</w:t>
            </w:r>
            <w:r w:rsidRPr="4724C643" w:rsidR="1D063B86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Doubling and halving. Odd and even numbers.</w:t>
            </w:r>
          </w:p>
        </w:tc>
      </w:tr>
      <w:tr w:rsidRPr="00A61364" w:rsidR="00A61364" w:rsidTr="4724C643" w14:paraId="283833E6" w14:textId="77777777">
        <w:trPr>
          <w:trHeight w:val="255"/>
        </w:trPr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C000"/>
            <w:tcMar/>
            <w:vAlign w:val="center"/>
            <w:hideMark/>
          </w:tcPr>
          <w:p w:rsidRPr="00A61364" w:rsidR="00A61364" w:rsidP="00A61364" w:rsidRDefault="00A61364" w14:paraId="2533DD4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Science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51BD7FC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Working scientifically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7641B356" w14:paraId="6DDBE6F5" w14:textId="4B86AC5C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7641B356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Identifying</w:t>
            </w:r>
            <w:r w:rsidRPr="4724C643" w:rsidR="7641B356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, </w:t>
            </w:r>
            <w:r w:rsidRPr="4724C643" w:rsidR="7641B356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classifying</w:t>
            </w:r>
            <w:r w:rsidRPr="4724C643" w:rsidR="7641B356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and grouping. </w:t>
            </w:r>
            <w:r w:rsidRPr="4724C643" w:rsidR="7FCC636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Performing simple tests. Gathering and recording data. Asking simple questions. </w:t>
            </w:r>
          </w:p>
        </w:tc>
      </w:tr>
      <w:tr w:rsidRPr="00A61364" w:rsidR="00A61364" w:rsidTr="4724C643" w14:paraId="581ACBBA" w14:textId="77777777">
        <w:trPr>
          <w:trHeight w:val="255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0F2BD1CE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1F1C77B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2E800224" w14:paraId="222A9ECC" w14:textId="3720813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2E80022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Animals including humans. </w:t>
            </w:r>
            <w:r w:rsidRPr="4724C643" w:rsidR="6C0E828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Focussing on the importance of health and hygiene</w:t>
            </w:r>
            <w:r w:rsidRPr="4724C643" w:rsidR="60C6BBC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by</w:t>
            </w:r>
            <w:r w:rsidRPr="4724C643" w:rsidR="6C0E828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classifying food into food groups</w:t>
            </w:r>
            <w:r w:rsidRPr="4724C643" w:rsidR="40192E67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and the importance of a balanced diet. Investigating the effects and importance of exercise for the human body</w:t>
            </w:r>
            <w:r w:rsidRPr="4724C643" w:rsidR="1C3F725B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. </w:t>
            </w:r>
          </w:p>
        </w:tc>
      </w:tr>
      <w:tr w:rsidRPr="00A61364" w:rsidR="00A61364" w:rsidTr="4724C643" w14:paraId="326CA789" w14:textId="77777777">
        <w:trPr>
          <w:trHeight w:val="510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0000"/>
            <w:tcMar/>
            <w:vAlign w:val="center"/>
            <w:hideMark/>
          </w:tcPr>
          <w:p w:rsidRPr="00A61364" w:rsidR="00A61364" w:rsidP="00A61364" w:rsidRDefault="00A61364" w14:paraId="170693B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Spanish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725C76BD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21B22EAB" w:rsidRDefault="349ABDBD" w14:paraId="60442C84" w14:textId="4C76618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64F3650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Las </w:t>
            </w:r>
            <w:r w:rsidRPr="4724C643" w:rsidR="64F3650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estaciones</w:t>
            </w:r>
            <w:r w:rsidRPr="4724C643" w:rsidR="64F3650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- The seasons</w:t>
            </w:r>
          </w:p>
        </w:tc>
      </w:tr>
      <w:tr w:rsidRPr="00A61364" w:rsidR="00A61364" w:rsidTr="4724C643" w14:paraId="5EB317D9" w14:textId="77777777">
        <w:trPr>
          <w:trHeight w:val="540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0AD47"/>
            <w:tcMar/>
            <w:vAlign w:val="center"/>
            <w:hideMark/>
          </w:tcPr>
          <w:p w:rsidRPr="00A61364" w:rsidR="00A61364" w:rsidP="00A61364" w:rsidRDefault="00A61364" w14:paraId="0D63F59C" w14:textId="775C1F41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Geography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4ED2160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1D5D3A98" w14:paraId="030B2C67" w14:textId="4A0F2FFB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17CEEDE6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Focus on Bombo, Uganda, studying the human and physical features and comparing them to the human and physical features of Bramhope. </w:t>
            </w:r>
          </w:p>
        </w:tc>
      </w:tr>
      <w:tr w:rsidRPr="00A61364" w:rsidR="00A61364" w:rsidTr="4724C643" w14:paraId="1880927B" w14:textId="77777777">
        <w:trPr>
          <w:trHeight w:val="510"/>
        </w:trPr>
        <w:tc>
          <w:tcPr>
            <w:tcW w:w="1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4B083"/>
            <w:tcMar/>
            <w:vAlign w:val="center"/>
            <w:hideMark/>
          </w:tcPr>
          <w:p w:rsidRPr="00A61364" w:rsidR="00A61364" w:rsidP="00A61364" w:rsidRDefault="00A61364" w14:paraId="17A6D506" w14:textId="39AE25AA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B33AD16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D.T.</w:t>
            </w:r>
            <w:r w:rsidRPr="0B33AD16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="00A61364" w:rsidP="4724C643" w:rsidRDefault="00A61364" w14:paraId="6E92A136" w14:textId="5841CD0E">
            <w:pPr>
              <w:pStyle w:val="Normal"/>
              <w:spacing w:after="0" w:line="240" w:lineRule="auto"/>
              <w:jc w:val="center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00A61364">
              <w:rPr>
                <w:rFonts w:ascii="Calibri" w:hAnsi="Calibri" w:eastAsia="Times New Roman" w:cs="Segoe UI"/>
                <w:i w:val="1"/>
                <w:iCs w:val="1"/>
                <w:lang w:eastAsia="en-GB"/>
              </w:rPr>
              <w:t>Units of work</w:t>
            </w:r>
            <w:r w:rsidRPr="4724C643" w:rsid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="6B8D5711" w:rsidP="4724C643" w:rsidRDefault="6B8D5711" w14:paraId="7AA70AE3" w14:textId="6992193D">
            <w:pPr>
              <w:pStyle w:val="Normal"/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6B8D5711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Mechanisms. </w:t>
            </w:r>
            <w:r w:rsidRPr="4724C643" w:rsidR="05D44E15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Select from and use a range of tools and equipment to perform practical tasks such as cutting and joining to allow movement to create a moving monster. </w:t>
            </w:r>
          </w:p>
        </w:tc>
      </w:tr>
      <w:tr w:rsidRPr="00A61364" w:rsidR="00A61364" w:rsidTr="4724C643" w14:paraId="1D231079" w14:textId="77777777">
        <w:trPr>
          <w:trHeight w:val="255"/>
        </w:trPr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030A0"/>
            <w:tcMar/>
            <w:vAlign w:val="center"/>
            <w:hideMark/>
          </w:tcPr>
          <w:p w:rsidRPr="00A61364" w:rsidR="00A61364" w:rsidP="00A61364" w:rsidRDefault="00A61364" w14:paraId="1307FB47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Music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343F8080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Musician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0F3B127A" w14:paraId="033180B3" w14:textId="623B4EF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3B9ED59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Wolfgang Amadeus Mozart </w:t>
            </w:r>
          </w:p>
        </w:tc>
      </w:tr>
      <w:tr w:rsidRPr="00A61364" w:rsidR="00A61364" w:rsidTr="4724C643" w14:paraId="5A2B6586" w14:textId="77777777">
        <w:trPr>
          <w:trHeight w:val="255"/>
        </w:trPr>
        <w:tc>
          <w:tcPr>
            <w:tcW w:w="0" w:type="auto"/>
            <w:vMerge/>
            <w:tcMar/>
            <w:vAlign w:val="center"/>
            <w:hideMark/>
          </w:tcPr>
          <w:p w:rsidRPr="00A61364" w:rsidR="00A61364" w:rsidP="00A61364" w:rsidRDefault="00A61364" w14:paraId="653BA356" w14:textId="77777777">
            <w:pPr>
              <w:spacing w:after="0" w:line="240" w:lineRule="auto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3BF5FF9F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7E31763C" w14:paraId="675C4762" w14:textId="5CBEA62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53B9ED59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Exploring feelings through music. How does music make the world a better place? Appraising music and learning about Mozart’s life and musical compositions</w:t>
            </w:r>
            <w:r w:rsidRPr="53B9ED59" w:rsidR="45F3276F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.</w:t>
            </w:r>
          </w:p>
        </w:tc>
      </w:tr>
      <w:tr w:rsidRPr="00A61364" w:rsidR="00A61364" w:rsidTr="4724C643" w14:paraId="3A5DB449" w14:textId="77777777">
        <w:trPr>
          <w:trHeight w:val="570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EAAAA"/>
            <w:tcMar/>
            <w:vAlign w:val="center"/>
            <w:hideMark/>
          </w:tcPr>
          <w:p w:rsidRPr="00A61364" w:rsidR="00A61364" w:rsidP="00A61364" w:rsidRDefault="00A61364" w14:paraId="4DE2A73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RE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0B3695A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EE4104" w:rsidRDefault="00EE4104" w14:paraId="728D8614" w14:textId="47239EBA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1DE9419D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How do people pray? Looking at the different religious and spiritual ways of life about </w:t>
            </w:r>
            <w:r w:rsidRPr="4724C643" w:rsidR="1DE9419D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prayer: the practice, symbols, </w:t>
            </w:r>
            <w:r w:rsidRPr="4724C643" w:rsidR="1DE9419D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words</w:t>
            </w:r>
            <w:r w:rsidRPr="4724C643" w:rsidR="1DE9419D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and significance of prayer. </w:t>
            </w:r>
          </w:p>
        </w:tc>
      </w:tr>
      <w:tr w:rsidRPr="00A61364" w:rsidR="00A61364" w:rsidTr="4724C643" w14:paraId="045F64A8" w14:textId="77777777">
        <w:trPr>
          <w:trHeight w:val="555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C7CCA"/>
            <w:tcMar/>
            <w:vAlign w:val="center"/>
            <w:hideMark/>
          </w:tcPr>
          <w:p w:rsidRPr="00A61364" w:rsidR="00A61364" w:rsidP="00A61364" w:rsidRDefault="00A61364" w14:paraId="37DA3AA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Computing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4A08BBE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4724C643" w:rsidRDefault="00EE4104" w14:paraId="4C1CB52D" w14:textId="1782A13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6526C0AD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Learning how to use Microsoft Word to create a poster. </w:t>
            </w:r>
          </w:p>
        </w:tc>
      </w:tr>
      <w:tr w:rsidRPr="00A61364" w:rsidR="00A61364" w:rsidTr="4724C643" w14:paraId="02DEC322" w14:textId="77777777">
        <w:trPr>
          <w:trHeight w:val="540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4923ED"/>
            <w:tcMar/>
            <w:vAlign w:val="center"/>
            <w:hideMark/>
          </w:tcPr>
          <w:p w:rsidRPr="00A61364" w:rsidR="00A61364" w:rsidP="00A61364" w:rsidRDefault="00A61364" w14:paraId="5AA52452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PE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0C6F4CD6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A61364" w:rsidP="00A61364" w:rsidRDefault="00EE4104" w14:paraId="432F2657" w14:textId="20DA15E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00EE4104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Gymnastics</w:t>
            </w:r>
            <w:r w:rsidRPr="4724C643" w:rsidR="39A7658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. Developing flexibility, strength, technique, </w:t>
            </w:r>
            <w:r w:rsidRPr="4724C643" w:rsidR="39A7658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>control</w:t>
            </w:r>
            <w:r w:rsidRPr="4724C643" w:rsidR="39A7658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 and balance. Performing dance using a range of movement patterns. </w:t>
            </w:r>
          </w:p>
        </w:tc>
      </w:tr>
      <w:tr w:rsidRPr="00A61364" w:rsidR="00A61364" w:rsidTr="4724C643" w14:paraId="48810E26" w14:textId="77777777">
        <w:trPr>
          <w:trHeight w:val="300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3ED3B"/>
            <w:tcMar/>
            <w:vAlign w:val="center"/>
            <w:hideMark/>
          </w:tcPr>
          <w:p w:rsidRPr="00A61364" w:rsidR="00A61364" w:rsidP="00A61364" w:rsidRDefault="00A61364" w14:paraId="36F09591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b/>
                <w:bCs/>
                <w:sz w:val="28"/>
                <w:szCs w:val="28"/>
                <w:lang w:eastAsia="en-GB"/>
              </w:rPr>
              <w:t>PSHE</w:t>
            </w:r>
            <w:r w:rsidRPr="00A61364">
              <w:rPr>
                <w:rFonts w:ascii="Calibri" w:hAnsi="Calibri" w:eastAsia="Times New Roman" w:cs="Segoe U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A61364" w:rsidR="00A61364" w:rsidP="00A61364" w:rsidRDefault="00A61364" w14:paraId="46A6A795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A61364">
              <w:rPr>
                <w:rFonts w:ascii="Calibri" w:hAnsi="Calibri" w:eastAsia="Times New Roman" w:cs="Segoe UI"/>
                <w:i/>
                <w:iCs/>
                <w:lang w:eastAsia="en-GB"/>
              </w:rPr>
              <w:t>Units of work</w:t>
            </w:r>
            <w:r w:rsidRPr="00A61364">
              <w:rPr>
                <w:rFonts w:ascii="Calibri" w:hAnsi="Calibri" w:eastAsia="Times New Roman" w:cs="Segoe UI"/>
                <w:lang w:eastAsia="en-GB"/>
              </w:rPr>
              <w:t> </w:t>
            </w:r>
          </w:p>
        </w:tc>
        <w:tc>
          <w:tcPr>
            <w:tcW w:w="1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61364" w:rsidR="00EE4104" w:rsidP="4724C643" w:rsidRDefault="00EE4104" w14:paraId="0277C9B0" w14:textId="23FA8DF5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4724C643" w:rsidR="6D0EFD1E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Living in the wider world. </w:t>
            </w:r>
            <w:r w:rsidRPr="4724C643" w:rsidR="7F1F8AF3"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  <w:t xml:space="preserve">Exploring different jobs that people in the community do. The role of internet in everyday life and how digital devices can be used safely to communicate. </w:t>
            </w:r>
          </w:p>
        </w:tc>
      </w:tr>
    </w:tbl>
    <w:p w:rsidR="008522E9" w:rsidRDefault="008522E9" w14:paraId="27308C2F" w14:textId="77777777"/>
    <w:sectPr w:rsidR="008522E9" w:rsidSect="00A61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f7KrNMdP2LxLw" int2:id="HbXws7SU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4"/>
    <w:rsid w:val="000005D3"/>
    <w:rsid w:val="000069C1"/>
    <w:rsid w:val="00024F25"/>
    <w:rsid w:val="00090946"/>
    <w:rsid w:val="000B23AF"/>
    <w:rsid w:val="000D3287"/>
    <w:rsid w:val="000E3817"/>
    <w:rsid w:val="000F0BD5"/>
    <w:rsid w:val="00102182"/>
    <w:rsid w:val="00104D02"/>
    <w:rsid w:val="00136B8B"/>
    <w:rsid w:val="00142D41"/>
    <w:rsid w:val="00160759"/>
    <w:rsid w:val="00173859"/>
    <w:rsid w:val="001751FE"/>
    <w:rsid w:val="001B4153"/>
    <w:rsid w:val="00247858"/>
    <w:rsid w:val="00247D09"/>
    <w:rsid w:val="002A4717"/>
    <w:rsid w:val="00346D53"/>
    <w:rsid w:val="00377C59"/>
    <w:rsid w:val="003B326D"/>
    <w:rsid w:val="003C0294"/>
    <w:rsid w:val="004710B3"/>
    <w:rsid w:val="004876F3"/>
    <w:rsid w:val="004B446B"/>
    <w:rsid w:val="004C4679"/>
    <w:rsid w:val="004D1182"/>
    <w:rsid w:val="00536E4D"/>
    <w:rsid w:val="005D7C20"/>
    <w:rsid w:val="00614DFB"/>
    <w:rsid w:val="00655600"/>
    <w:rsid w:val="0067E2DB"/>
    <w:rsid w:val="006F3C98"/>
    <w:rsid w:val="00704CA2"/>
    <w:rsid w:val="007346A4"/>
    <w:rsid w:val="007608E5"/>
    <w:rsid w:val="007639DE"/>
    <w:rsid w:val="007E1349"/>
    <w:rsid w:val="007E47B1"/>
    <w:rsid w:val="008522E9"/>
    <w:rsid w:val="008E2E7C"/>
    <w:rsid w:val="009D4490"/>
    <w:rsid w:val="009E2570"/>
    <w:rsid w:val="00A61364"/>
    <w:rsid w:val="00AA2444"/>
    <w:rsid w:val="00AA70DD"/>
    <w:rsid w:val="00AF6E6E"/>
    <w:rsid w:val="00B05A53"/>
    <w:rsid w:val="00B12128"/>
    <w:rsid w:val="00B34575"/>
    <w:rsid w:val="00B75529"/>
    <w:rsid w:val="00B9341D"/>
    <w:rsid w:val="00C02796"/>
    <w:rsid w:val="00C21C06"/>
    <w:rsid w:val="00C8565A"/>
    <w:rsid w:val="00D516C0"/>
    <w:rsid w:val="00EB5002"/>
    <w:rsid w:val="00EB62AF"/>
    <w:rsid w:val="00EE205F"/>
    <w:rsid w:val="00EE4104"/>
    <w:rsid w:val="00F33AF7"/>
    <w:rsid w:val="00FC3760"/>
    <w:rsid w:val="00FE65FC"/>
    <w:rsid w:val="01D3407A"/>
    <w:rsid w:val="01F09C04"/>
    <w:rsid w:val="036F48F4"/>
    <w:rsid w:val="050AE13C"/>
    <w:rsid w:val="050B1955"/>
    <w:rsid w:val="05C01B10"/>
    <w:rsid w:val="05D44E15"/>
    <w:rsid w:val="074E423E"/>
    <w:rsid w:val="07B25CBB"/>
    <w:rsid w:val="0842BA17"/>
    <w:rsid w:val="0925DAE7"/>
    <w:rsid w:val="09D7E743"/>
    <w:rsid w:val="0AE617F8"/>
    <w:rsid w:val="0B33AD16"/>
    <w:rsid w:val="0B7A5AD9"/>
    <w:rsid w:val="0C24D67C"/>
    <w:rsid w:val="0D162B3A"/>
    <w:rsid w:val="0D380970"/>
    <w:rsid w:val="0DB4D8A2"/>
    <w:rsid w:val="0E74A8D7"/>
    <w:rsid w:val="0EB1FB9B"/>
    <w:rsid w:val="0F3B127A"/>
    <w:rsid w:val="10107938"/>
    <w:rsid w:val="128B6CE0"/>
    <w:rsid w:val="151B8A24"/>
    <w:rsid w:val="1528F28C"/>
    <w:rsid w:val="1712A7CE"/>
    <w:rsid w:val="178AE398"/>
    <w:rsid w:val="17CEEDE6"/>
    <w:rsid w:val="18A0C92D"/>
    <w:rsid w:val="1B9C673D"/>
    <w:rsid w:val="1C020D72"/>
    <w:rsid w:val="1C3F725B"/>
    <w:rsid w:val="1D063B86"/>
    <w:rsid w:val="1D5D3A98"/>
    <w:rsid w:val="1DE9419D"/>
    <w:rsid w:val="1E4DD8C7"/>
    <w:rsid w:val="1EB6AC75"/>
    <w:rsid w:val="1EBDCFB2"/>
    <w:rsid w:val="1EED3CBE"/>
    <w:rsid w:val="1FBC7123"/>
    <w:rsid w:val="207AEC19"/>
    <w:rsid w:val="21B22EAB"/>
    <w:rsid w:val="24980954"/>
    <w:rsid w:val="266BCD7F"/>
    <w:rsid w:val="26D0F004"/>
    <w:rsid w:val="295151AE"/>
    <w:rsid w:val="2A380164"/>
    <w:rsid w:val="2A8150CB"/>
    <w:rsid w:val="2AB20542"/>
    <w:rsid w:val="2ACC4445"/>
    <w:rsid w:val="2E800224"/>
    <w:rsid w:val="2F3E9727"/>
    <w:rsid w:val="31189BA6"/>
    <w:rsid w:val="315C6393"/>
    <w:rsid w:val="31AA4874"/>
    <w:rsid w:val="3412084A"/>
    <w:rsid w:val="3473268B"/>
    <w:rsid w:val="34940455"/>
    <w:rsid w:val="349ABDBD"/>
    <w:rsid w:val="35F2BA0B"/>
    <w:rsid w:val="363407E3"/>
    <w:rsid w:val="392A5ACD"/>
    <w:rsid w:val="39A7658E"/>
    <w:rsid w:val="3AC62B2E"/>
    <w:rsid w:val="3AF140B9"/>
    <w:rsid w:val="3C606266"/>
    <w:rsid w:val="3FA69C98"/>
    <w:rsid w:val="40192E67"/>
    <w:rsid w:val="412F932E"/>
    <w:rsid w:val="42121231"/>
    <w:rsid w:val="45F3276F"/>
    <w:rsid w:val="4724C643"/>
    <w:rsid w:val="49C03251"/>
    <w:rsid w:val="4A2755C3"/>
    <w:rsid w:val="4E46F2CB"/>
    <w:rsid w:val="50CBA889"/>
    <w:rsid w:val="534A764D"/>
    <w:rsid w:val="53B9ED59"/>
    <w:rsid w:val="5471F667"/>
    <w:rsid w:val="55A2D405"/>
    <w:rsid w:val="566F5D40"/>
    <w:rsid w:val="5676A4F2"/>
    <w:rsid w:val="57A184EC"/>
    <w:rsid w:val="592CDA8F"/>
    <w:rsid w:val="5BAB20B7"/>
    <w:rsid w:val="5BF137BF"/>
    <w:rsid w:val="5E615654"/>
    <w:rsid w:val="5EC7BA40"/>
    <w:rsid w:val="5F4DE978"/>
    <w:rsid w:val="60638AA1"/>
    <w:rsid w:val="60C6BBCE"/>
    <w:rsid w:val="60E9B9D9"/>
    <w:rsid w:val="639B2B63"/>
    <w:rsid w:val="641D276E"/>
    <w:rsid w:val="64F36503"/>
    <w:rsid w:val="6526C0AD"/>
    <w:rsid w:val="657BDD24"/>
    <w:rsid w:val="66CF4976"/>
    <w:rsid w:val="6758FB5D"/>
    <w:rsid w:val="6A909C1F"/>
    <w:rsid w:val="6B8D5711"/>
    <w:rsid w:val="6BA63D48"/>
    <w:rsid w:val="6C0E828E"/>
    <w:rsid w:val="6CE77B2D"/>
    <w:rsid w:val="6D0EFD1E"/>
    <w:rsid w:val="6E2D7EB1"/>
    <w:rsid w:val="701C1FE2"/>
    <w:rsid w:val="72BCF4C2"/>
    <w:rsid w:val="7458C523"/>
    <w:rsid w:val="7641B356"/>
    <w:rsid w:val="76ADE95C"/>
    <w:rsid w:val="7AC6A175"/>
    <w:rsid w:val="7CFFCF56"/>
    <w:rsid w:val="7D979FFF"/>
    <w:rsid w:val="7E31763C"/>
    <w:rsid w:val="7F1F8AF3"/>
    <w:rsid w:val="7FC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DCAC"/>
  <w15:chartTrackingRefBased/>
  <w15:docId w15:val="{2D8827A0-3EBF-4080-9588-B6D77A0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613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61364"/>
  </w:style>
  <w:style w:type="character" w:styleId="eop" w:customStyle="1">
    <w:name w:val="eop"/>
    <w:basedOn w:val="DefaultParagraphFont"/>
    <w:rsid w:val="00A6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528a46bd3c648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a5b67e3c96ca38e2a8d3490d528cc448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c341f8c66339947254e3b3613dd558a3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 xsi:nil="true"/>
    <FileHash xmlns="c33964d2-6d9a-4247-9884-90d18e3fe564">30a98474b38b8dcc077fb84634933d7ac5ff5042</FileHash>
    <UniqueSourceRef xmlns="c33964d2-6d9a-4247-9884-90d18e3fe564" xsi:nil="true"/>
    <CloudMigratorVersion xmlns="c33964d2-6d9a-4247-9884-90d18e3fe564">3.40.8.0</CloudMigratorVersion>
    <CloudMigratorOriginId xmlns="c33964d2-6d9a-4247-9884-90d18e3fe564">bfde6e82-7571-494c-b78e-5952657ca14d</CloudMigratorOriginId>
    <SharedWithUsers xmlns="4f980095-c64f-4200-a35e-582792c15d1b">
      <UserInfo>
        <DisplayName>Richard Street</DisplayName>
        <AccountId>2310</AccountId>
        <AccountType/>
      </UserInfo>
    </SharedWithUsers>
    <MediaLengthInSeconds xmlns="c33964d2-6d9a-4247-9884-90d18e3fe564" xsi:nil="true"/>
    <Notes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7132A5B8-0412-4FB2-8618-D7E1CFB8E756}"/>
</file>

<file path=customXml/itemProps2.xml><?xml version="1.0" encoding="utf-8"?>
<ds:datastoreItem xmlns:ds="http://schemas.openxmlformats.org/officeDocument/2006/customXml" ds:itemID="{52A1C034-1A56-470A-8BC6-279D07E69FBF}"/>
</file>

<file path=customXml/itemProps3.xml><?xml version="1.0" encoding="utf-8"?>
<ds:datastoreItem xmlns:ds="http://schemas.openxmlformats.org/officeDocument/2006/customXml" ds:itemID="{B63961CF-5EA3-4F1A-8F15-35119C8D1F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Heald</dc:creator>
  <cp:keywords/>
  <dc:description/>
  <cp:lastModifiedBy>Sophie Beaumont</cp:lastModifiedBy>
  <cp:revision>6</cp:revision>
  <dcterms:created xsi:type="dcterms:W3CDTF">2023-01-03T14:13:00Z</dcterms:created>
  <dcterms:modified xsi:type="dcterms:W3CDTF">2023-12-14T13:59:52Z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Order">
    <vt:r8>381900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